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D58" w:rsidRPr="00802CBB" w:rsidRDefault="004D6D58" w:rsidP="00C0096B">
      <w:pPr>
        <w:pStyle w:val="a3"/>
        <w:ind w:leftChars="0" w:left="0"/>
        <w:outlineLvl w:val="0"/>
        <w:rPr>
          <w:rFonts w:ascii="微軟正黑體" w:eastAsia="微軟正黑體" w:hAnsi="微軟正黑體"/>
          <w:b/>
          <w:sz w:val="36"/>
          <w:szCs w:val="36"/>
        </w:rPr>
        <w:sectPr w:rsidR="004D6D58" w:rsidRPr="00802CBB" w:rsidSect="00C0096B">
          <w:footerReference w:type="default" r:id="rId8"/>
          <w:pgSz w:w="11906" w:h="16838" w:code="9"/>
          <w:pgMar w:top="454" w:right="1797" w:bottom="454" w:left="1797" w:header="851" w:footer="992" w:gutter="0"/>
          <w:pgNumType w:start="1"/>
          <w:cols w:space="425"/>
          <w:titlePg/>
          <w:docGrid w:type="lines" w:linePitch="360"/>
        </w:sectPr>
      </w:pPr>
      <w:bookmarkStart w:id="0" w:name="_Toc8805616"/>
      <w:bookmarkStart w:id="1" w:name="_Toc22028943"/>
    </w:p>
    <w:p w:rsidR="00C0096B" w:rsidRPr="00C0096B" w:rsidRDefault="00C0096B" w:rsidP="00C0096B">
      <w:pPr>
        <w:spacing w:line="0" w:lineRule="atLeast"/>
        <w:jc w:val="center"/>
        <w:outlineLvl w:val="1"/>
        <w:rPr>
          <w:rFonts w:ascii="微軟正黑體" w:eastAsia="微軟正黑體" w:hAnsi="微軟正黑體"/>
          <w:sz w:val="32"/>
          <w:szCs w:val="32"/>
          <w:u w:val="double"/>
        </w:rPr>
      </w:pPr>
      <w:bookmarkStart w:id="2" w:name="_Toc8805617"/>
      <w:bookmarkStart w:id="3" w:name="_Toc22028944"/>
      <w:bookmarkEnd w:id="0"/>
      <w:bookmarkEnd w:id="1"/>
      <w:r w:rsidRPr="00C0096B">
        <w:rPr>
          <w:rFonts w:ascii="微軟正黑體" w:eastAsia="微軟正黑體" w:hAnsi="微軟正黑體" w:hint="eastAsia"/>
          <w:sz w:val="32"/>
          <w:szCs w:val="32"/>
          <w:u w:val="double"/>
        </w:rPr>
        <w:t>桃園市立凌雲國</w:t>
      </w:r>
      <w:r w:rsidR="00D81F4F">
        <w:rPr>
          <w:rFonts w:ascii="微軟正黑體" w:eastAsia="微軟正黑體" w:hAnsi="微軟正黑體" w:hint="eastAsia"/>
          <w:sz w:val="32"/>
          <w:szCs w:val="32"/>
          <w:u w:val="double"/>
        </w:rPr>
        <w:t>民</w:t>
      </w:r>
      <w:r w:rsidRPr="00C0096B">
        <w:rPr>
          <w:rFonts w:ascii="微軟正黑體" w:eastAsia="微軟正黑體" w:hAnsi="微軟正黑體" w:hint="eastAsia"/>
          <w:sz w:val="32"/>
          <w:szCs w:val="32"/>
          <w:u w:val="double"/>
        </w:rPr>
        <w:t>中</w:t>
      </w:r>
      <w:r w:rsidR="00D81F4F">
        <w:rPr>
          <w:rFonts w:ascii="微軟正黑體" w:eastAsia="微軟正黑體" w:hAnsi="微軟正黑體" w:hint="eastAsia"/>
          <w:sz w:val="32"/>
          <w:szCs w:val="32"/>
          <w:u w:val="double"/>
        </w:rPr>
        <w:t>學</w:t>
      </w:r>
      <w:bookmarkStart w:id="4" w:name="_GoBack"/>
      <w:bookmarkEnd w:id="4"/>
      <w:r w:rsidRPr="00C0096B">
        <w:rPr>
          <w:rFonts w:ascii="微軟正黑體" w:eastAsia="微軟正黑體" w:hAnsi="微軟正黑體" w:hint="eastAsia"/>
          <w:sz w:val="32"/>
          <w:szCs w:val="32"/>
          <w:u w:val="double"/>
        </w:rPr>
        <w:t>兒童權利公約影片觀賞完後學習單</w:t>
      </w:r>
      <w:r>
        <w:rPr>
          <w:rFonts w:ascii="微軟正黑體" w:eastAsia="微軟正黑體" w:hAnsi="微軟正黑體" w:hint="eastAsia"/>
          <w:sz w:val="32"/>
          <w:szCs w:val="32"/>
          <w:u w:val="double"/>
        </w:rPr>
        <w:t>1</w:t>
      </w:r>
      <w:r w:rsidR="00D81F4F">
        <w:rPr>
          <w:rFonts w:ascii="微軟正黑體" w:eastAsia="微軟正黑體" w:hAnsi="微軟正黑體" w:hint="eastAsia"/>
          <w:sz w:val="32"/>
          <w:szCs w:val="32"/>
          <w:u w:val="double"/>
        </w:rPr>
        <w:t>10-</w:t>
      </w:r>
      <w:r>
        <w:rPr>
          <w:rFonts w:ascii="微軟正黑體" w:eastAsia="微軟正黑體" w:hAnsi="微軟正黑體" w:hint="eastAsia"/>
          <w:sz w:val="32"/>
          <w:szCs w:val="32"/>
          <w:u w:val="double"/>
        </w:rPr>
        <w:t>2學期</w:t>
      </w:r>
    </w:p>
    <w:p w:rsidR="0051663E" w:rsidRPr="00C0096B" w:rsidRDefault="00C0096B" w:rsidP="00C0096B">
      <w:pPr>
        <w:spacing w:line="0" w:lineRule="atLeast"/>
        <w:outlineLvl w:val="1"/>
        <w:rPr>
          <w:rFonts w:ascii="微軟正黑體" w:eastAsia="微軟正黑體" w:hAnsi="微軟正黑體"/>
          <w:b/>
          <w:sz w:val="28"/>
          <w:szCs w:val="28"/>
        </w:rPr>
      </w:pPr>
      <w:r w:rsidRPr="00C0096B">
        <w:rPr>
          <w:rFonts w:ascii="微軟正黑體" w:eastAsia="微軟正黑體" w:hAnsi="微軟正黑體" w:hint="eastAsia"/>
          <w:b/>
          <w:sz w:val="28"/>
          <w:szCs w:val="28"/>
        </w:rPr>
        <w:t>一、是非題</w:t>
      </w:r>
      <w:bookmarkEnd w:id="2"/>
      <w:bookmarkEnd w:id="3"/>
      <w:r w:rsidR="0051663E" w:rsidRPr="00C0096B">
        <w:rPr>
          <w:rFonts w:ascii="微軟正黑體" w:eastAsia="微軟正黑體" w:hAnsi="微軟正黑體" w:hint="eastAsia"/>
          <w:b/>
          <w:sz w:val="28"/>
          <w:szCs w:val="28"/>
        </w:rPr>
        <w:t xml:space="preserve"> </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1</w:t>
      </w:r>
      <w:r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在監護權爭議的案件中，5歲以下的孩子年紀還太小，無法真正了解發生什麼事，所以可以不用考慮孩子的想法</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2</w:t>
      </w:r>
      <w:r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認為，只要不涉及虐待，家長可以用體罰的方式管教小孩。</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3</w:t>
      </w:r>
      <w:r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在安排原住民兒少的寄養家庭時，不需要考慮兒少的種族、文化背景，只要選擇經濟條件良好的家庭即可。</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4</w:t>
      </w:r>
      <w:r w:rsidRPr="00C0096B">
        <w:rPr>
          <w:rFonts w:ascii="微軟正黑體" w:eastAsia="微軟正黑體" w:hAnsi="微軟正黑體" w:hint="eastAsia"/>
          <w:szCs w:val="24"/>
        </w:rPr>
        <w:t>、</w:t>
      </w:r>
      <w:proofErr w:type="gramStart"/>
      <w:r w:rsidR="0051663E" w:rsidRPr="00C0096B">
        <w:rPr>
          <w:rFonts w:ascii="微軟正黑體" w:eastAsia="微軟正黑體" w:hAnsi="微軟正黑體" w:hint="eastAsia"/>
          <w:szCs w:val="24"/>
        </w:rPr>
        <w:t>為了兒</w:t>
      </w:r>
      <w:proofErr w:type="gramEnd"/>
      <w:r w:rsidR="0051663E" w:rsidRPr="00C0096B">
        <w:rPr>
          <w:rFonts w:ascii="微軟正黑體" w:eastAsia="微軟正黑體" w:hAnsi="微軟正黑體" w:hint="eastAsia"/>
          <w:szCs w:val="24"/>
        </w:rPr>
        <w:t>少的生育健康，應該要提供兒少有關性生理發展以及避孕的相關知識及資訊。</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5</w:t>
      </w:r>
      <w:r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是目前最多國家簽署的國際公約之</w:t>
      </w:r>
      <w:proofErr w:type="gramStart"/>
      <w:r w:rsidR="0051663E" w:rsidRPr="00C0096B">
        <w:rPr>
          <w:rFonts w:ascii="微軟正黑體" w:eastAsia="微軟正黑體" w:hAnsi="微軟正黑體" w:hint="eastAsia"/>
          <w:szCs w:val="24"/>
        </w:rPr>
        <w:t>一</w:t>
      </w:r>
      <w:proofErr w:type="gramEnd"/>
      <w:r w:rsidR="0051663E" w:rsidRPr="00C0096B">
        <w:rPr>
          <w:rFonts w:ascii="微軟正黑體" w:eastAsia="微軟正黑體" w:hAnsi="微軟正黑體" w:hint="eastAsia"/>
          <w:szCs w:val="24"/>
        </w:rPr>
        <w:t>。</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6</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第3條規定：所有關係兒童之事務，無論是由公私社會福利機構、法院、行政機關或立法機關作為，均應以兒童最佳利益為優先考量。</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7</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第24條要求締約國確認兒童有權享有最高可達水準之健康與促進疾病治療以及恢復健康之權利。</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8</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第25條要求締約國體認為照顧、保護或治療兒童身體或心理健康之目的，而由權責單位安置之兒童，有權對於其所受之待遇，以及所受安置有關之其他一切情況，要求定期評估。</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9</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第28條要求締約國確認兒童有接受教育之權利，為使此項權利能於機會平等之基礎上逐步實現，締約國應採取措施鼓勵正常到校並降低輟學率。</w:t>
      </w:r>
    </w:p>
    <w:p w:rsidR="00156940" w:rsidRPr="00C0096B" w:rsidRDefault="00A47753"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10</w:t>
      </w:r>
      <w:r w:rsidR="00A90EA2"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w:t>
      </w:r>
      <w:r w:rsidRPr="00C0096B">
        <w:rPr>
          <w:rFonts w:ascii="微軟正黑體" w:eastAsia="微軟正黑體" w:hAnsi="微軟正黑體" w:hint="eastAsia"/>
          <w:szCs w:val="24"/>
        </w:rPr>
        <w:t>關懷</w:t>
      </w:r>
      <w:r w:rsidR="0051663E" w:rsidRPr="00C0096B">
        <w:rPr>
          <w:rFonts w:ascii="微軟正黑體" w:eastAsia="微軟正黑體" w:hAnsi="微軟正黑體"/>
          <w:szCs w:val="24"/>
        </w:rPr>
        <w:t>未成年非預期懷孕</w:t>
      </w:r>
      <w:r w:rsidR="002B74C1" w:rsidRPr="00C0096B">
        <w:rPr>
          <w:rFonts w:ascii="微軟正黑體" w:eastAsia="微軟正黑體" w:hAnsi="微軟正黑體" w:hint="eastAsia"/>
          <w:szCs w:val="24"/>
        </w:rPr>
        <w:t>事件中，因為懷孕的是少女，只需要協助</w:t>
      </w:r>
      <w:r w:rsidR="0051663E" w:rsidRPr="00C0096B">
        <w:rPr>
          <w:rFonts w:ascii="微軟正黑體" w:eastAsia="微軟正黑體" w:hAnsi="微軟正黑體" w:hint="eastAsia"/>
          <w:szCs w:val="24"/>
        </w:rPr>
        <w:t>少女，不</w:t>
      </w:r>
      <w:r w:rsidR="002B74C1" w:rsidRPr="00C0096B">
        <w:rPr>
          <w:rFonts w:ascii="微軟正黑體" w:eastAsia="微軟正黑體" w:hAnsi="微軟正黑體" w:hint="eastAsia"/>
          <w:szCs w:val="24"/>
        </w:rPr>
        <w:t>需關懷</w:t>
      </w:r>
      <w:r w:rsidR="0051663E" w:rsidRPr="00C0096B">
        <w:rPr>
          <w:rFonts w:ascii="微軟正黑體" w:eastAsia="微軟正黑體" w:hAnsi="微軟正黑體" w:hint="eastAsia"/>
          <w:szCs w:val="24"/>
        </w:rPr>
        <w:t>少</w:t>
      </w:r>
      <w:r w:rsidR="002B74C1" w:rsidRPr="00C0096B">
        <w:rPr>
          <w:rFonts w:ascii="微軟正黑體" w:eastAsia="微軟正黑體" w:hAnsi="微軟正黑體" w:hint="eastAsia"/>
          <w:szCs w:val="24"/>
        </w:rPr>
        <w:t>年</w:t>
      </w:r>
      <w:r w:rsidR="0051663E" w:rsidRPr="00C0096B">
        <w:rPr>
          <w:rFonts w:ascii="微軟正黑體" w:eastAsia="微軟正黑體" w:hAnsi="微軟正黑體" w:hint="eastAsia"/>
          <w:szCs w:val="24"/>
        </w:rPr>
        <w:t>。</w:t>
      </w:r>
      <w:bookmarkStart w:id="5" w:name="_Toc8805618"/>
      <w:bookmarkStart w:id="6" w:name="_Toc22028945"/>
    </w:p>
    <w:p w:rsidR="0051663E" w:rsidRPr="00C0096B" w:rsidRDefault="00156940" w:rsidP="00C0096B">
      <w:pPr>
        <w:spacing w:line="0" w:lineRule="atLeast"/>
        <w:outlineLvl w:val="1"/>
        <w:rPr>
          <w:rFonts w:ascii="微軟正黑體" w:eastAsia="微軟正黑體" w:hAnsi="微軟正黑體"/>
          <w:b/>
          <w:szCs w:val="24"/>
        </w:rPr>
      </w:pPr>
      <w:r w:rsidRPr="00C0096B">
        <w:rPr>
          <w:rFonts w:ascii="微軟正黑體" w:eastAsia="微軟正黑體" w:hAnsi="微軟正黑體" w:hint="eastAsia"/>
          <w:b/>
          <w:szCs w:val="24"/>
        </w:rPr>
        <w:t>二、</w:t>
      </w:r>
      <w:r w:rsidR="0051663E" w:rsidRPr="00C0096B">
        <w:rPr>
          <w:rFonts w:ascii="微軟正黑體" w:eastAsia="微軟正黑體" w:hAnsi="微軟正黑體" w:hint="eastAsia"/>
          <w:b/>
          <w:szCs w:val="24"/>
        </w:rPr>
        <w:t>選擇題</w:t>
      </w:r>
      <w:bookmarkEnd w:id="5"/>
      <w:bookmarkEnd w:id="6"/>
    </w:p>
    <w:p w:rsidR="0051663E" w:rsidRPr="00C0096B" w:rsidRDefault="00DF6B84" w:rsidP="00C0096B">
      <w:pPr>
        <w:spacing w:line="0" w:lineRule="atLeast"/>
        <w:ind w:left="1440" w:hangingChars="600" w:hanging="1440"/>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1</w:t>
      </w:r>
      <w:r w:rsidRPr="00C0096B">
        <w:rPr>
          <w:rFonts w:ascii="微軟正黑體" w:eastAsia="微軟正黑體" w:hAnsi="微軟正黑體" w:hint="eastAsia"/>
          <w:szCs w:val="24"/>
        </w:rPr>
        <w:t>、兒童權利公約的四項一般性原則中，哪一項原則最為重要？</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）生存及發展權。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）兒童最佳利益。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）尊重兒童意見。</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）四項原則同等重要。</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2</w:t>
      </w: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和兒少</w:t>
      </w:r>
      <w:proofErr w:type="gramEnd"/>
      <w:r w:rsidRPr="00C0096B">
        <w:rPr>
          <w:rFonts w:ascii="微軟正黑體" w:eastAsia="微軟正黑體" w:hAnsi="微軟正黑體" w:hint="eastAsia"/>
          <w:szCs w:val="24"/>
        </w:rPr>
        <w:t>工作應該要準備隨時傾聽兒少的聲音，你覺得應該</w:t>
      </w:r>
      <w:proofErr w:type="gramStart"/>
      <w:r w:rsidRPr="00C0096B">
        <w:rPr>
          <w:rFonts w:ascii="微軟正黑體" w:eastAsia="微軟正黑體" w:hAnsi="微軟正黑體" w:hint="eastAsia"/>
          <w:szCs w:val="24"/>
        </w:rPr>
        <w:t>如何和兒</w:t>
      </w:r>
      <w:proofErr w:type="gramEnd"/>
      <w:r w:rsidRPr="00C0096B">
        <w:rPr>
          <w:rFonts w:ascii="微軟正黑體" w:eastAsia="微軟正黑體" w:hAnsi="微軟正黑體" w:hint="eastAsia"/>
          <w:szCs w:val="24"/>
        </w:rPr>
        <w:t>少溝通？</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）說話。</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）畫圖。</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）玩遊戲。</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3</w:t>
      </w:r>
      <w:r w:rsidRPr="00C0096B">
        <w:rPr>
          <w:rFonts w:ascii="微軟正黑體" w:eastAsia="微軟正黑體" w:hAnsi="微軟正黑體" w:hint="eastAsia"/>
          <w:szCs w:val="24"/>
        </w:rPr>
        <w:t>、依據兒童權利公約，下列哪一項屬於對兒童的暴力？</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）性剝削。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）照顧疏忽。</w:t>
      </w:r>
      <w:r w:rsidRPr="00C0096B">
        <w:rPr>
          <w:rFonts w:ascii="微軟正黑體" w:eastAsia="微軟正黑體" w:hAnsi="微軟正黑體"/>
          <w:szCs w:val="24"/>
        </w:rPr>
        <w:tab/>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）體罰管教。</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tabs>
          <w:tab w:val="left" w:pos="1843"/>
        </w:tabs>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4</w:t>
      </w:r>
      <w:r w:rsidRPr="00C0096B">
        <w:rPr>
          <w:rFonts w:ascii="微軟正黑體" w:eastAsia="微軟正黑體" w:hAnsi="微軟正黑體" w:hint="eastAsia"/>
          <w:szCs w:val="24"/>
        </w:rPr>
        <w:t>、兒童權利公約的英文簡稱為</w:t>
      </w:r>
      <w:r w:rsidR="00416466"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lastRenderedPageBreak/>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CRPD</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CEDAW</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CRC</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CITES</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5</w:t>
      </w:r>
      <w:r w:rsidRPr="00C0096B">
        <w:rPr>
          <w:rFonts w:ascii="微軟正黑體" w:eastAsia="微軟正黑體" w:hAnsi="微軟正黑體" w:hint="eastAsia"/>
          <w:szCs w:val="24"/>
        </w:rPr>
        <w:t>、兒童權利公約第</w:t>
      </w:r>
      <w:r w:rsidR="00416466" w:rsidRPr="00C0096B">
        <w:rPr>
          <w:rFonts w:ascii="微軟正黑體" w:eastAsia="微軟正黑體" w:hAnsi="微軟正黑體"/>
          <w:szCs w:val="24"/>
        </w:rPr>
        <w:t>34</w:t>
      </w:r>
      <w:r w:rsidRPr="00C0096B">
        <w:rPr>
          <w:rFonts w:ascii="微軟正黑體" w:eastAsia="微軟正黑體" w:hAnsi="微軟正黑體" w:hint="eastAsia"/>
          <w:szCs w:val="24"/>
        </w:rPr>
        <w:t>條要求締約國承諾保護兒童免於所有形式之性剝削及性虐待。為此目的，我國現有何項法律？</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幼兒教育及照顧法</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）《兒童權利公約施行法》。</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兒童及少年性剝削防制條例</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兒童及少年未來教育與發展帳戶條例</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6</w:t>
      </w:r>
      <w:r w:rsidRPr="00C0096B">
        <w:rPr>
          <w:rFonts w:ascii="微軟正黑體" w:eastAsia="微軟正黑體" w:hAnsi="微軟正黑體" w:hint="eastAsia"/>
          <w:szCs w:val="24"/>
        </w:rPr>
        <w:t>、在辦理「多元文化」相關課程或活動時，誰是主要參與對象？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）婚姻移民及其子女。</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）一般民眾。</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）公務員。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416466" w:rsidRPr="00C0096B">
        <w:rPr>
          <w:rFonts w:ascii="微軟正黑體" w:eastAsia="微軟正黑體" w:hAnsi="微軟正黑體"/>
          <w:szCs w:val="24"/>
        </w:rPr>
        <w:t>7</w:t>
      </w:r>
      <w:r w:rsidRPr="00C0096B">
        <w:rPr>
          <w:rFonts w:ascii="微軟正黑體" w:eastAsia="微軟正黑體" w:hAnsi="微軟正黑體" w:hint="eastAsia"/>
          <w:szCs w:val="24"/>
        </w:rPr>
        <w:t>、哪一些行為可能侵犯了孩子的隱私權？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）學校無預警地檢查書包。</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）家長偷看孩子的手機及電腦。</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）老師沒收課堂上學生傳的紙條並唸給全班同學聽。</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8</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偏鄉地區因為交通不便，</w:t>
      </w:r>
      <w:r w:rsidR="00C0096B">
        <w:rPr>
          <w:rFonts w:ascii="微軟正黑體" w:eastAsia="微軟正黑體" w:hAnsi="微軟正黑體" w:hint="eastAsia"/>
          <w:szCs w:val="24"/>
        </w:rPr>
        <w:t>故</w:t>
      </w:r>
      <w:r w:rsidRPr="00C0096B">
        <w:rPr>
          <w:rFonts w:ascii="微軟正黑體" w:eastAsia="微軟正黑體" w:hAnsi="微軟正黑體" w:hint="eastAsia"/>
          <w:szCs w:val="24"/>
        </w:rPr>
        <w:t>有些孩子國小高年級或國中就開始騎機車，對於此現象你覺得？</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）礙於現實，只能睜一隻眼閉一隻眼，不要出事就好。</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）政府應努力改善公共交通運輸網絡。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）叫孩子不要出門。</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）孩子努力克服交通不便，值得讚賞。</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9</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兒童權利公約第</w:t>
      </w:r>
      <w:r w:rsidR="00DC1A3B" w:rsidRPr="00C0096B">
        <w:rPr>
          <w:rFonts w:ascii="微軟正黑體" w:eastAsia="微軟正黑體" w:hAnsi="微軟正黑體"/>
          <w:szCs w:val="24"/>
        </w:rPr>
        <w:t>39</w:t>
      </w:r>
      <w:r w:rsidRPr="00C0096B">
        <w:rPr>
          <w:rFonts w:ascii="微軟正黑體" w:eastAsia="微軟正黑體" w:hAnsi="微軟正黑體" w:hint="eastAsia"/>
          <w:szCs w:val="24"/>
        </w:rPr>
        <w:t>條，要求國家就遭受以下哪些傷害之兒童被害人採取適當措施，協助其身心康復並重返社會？</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）任何形式的疏忽、剝削或虐待。</w:t>
      </w:r>
    </w:p>
    <w:p w:rsidR="0051663E" w:rsidRPr="00C0096B" w:rsidRDefault="00DF6B84" w:rsidP="00C0096B">
      <w:pPr>
        <w:spacing w:line="0" w:lineRule="atLeast"/>
        <w:ind w:leftChars="420" w:left="1728" w:hangingChars="300" w:hanging="720"/>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）酷刑或任何其他形式的殘忍、不人道或有辱人格之待遇或處罰。</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）遭遇武裝衝突的兒童。</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10</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少年若觸犯我國刑事法律，應依何法律處理？</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兒童及少年性剝削防制條例</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刑事訴訟法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兒童及少年福利與權益保障法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 xml:space="preserve">。　</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少年事件處理法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sectPr w:rsidR="0051663E" w:rsidRPr="00C0096B" w:rsidSect="00C0096B">
      <w:type w:val="continuous"/>
      <w:pgSz w:w="11906" w:h="16838"/>
      <w:pgMar w:top="284" w:right="454" w:bottom="284" w:left="45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1B9" w:rsidRDefault="003051B9" w:rsidP="003F5980">
      <w:r>
        <w:separator/>
      </w:r>
    </w:p>
  </w:endnote>
  <w:endnote w:type="continuationSeparator" w:id="0">
    <w:p w:rsidR="003051B9" w:rsidRDefault="003051B9"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783229"/>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1B9" w:rsidRDefault="003051B9" w:rsidP="003F5980">
      <w:r>
        <w:separator/>
      </w:r>
    </w:p>
  </w:footnote>
  <w:footnote w:type="continuationSeparator" w:id="0">
    <w:p w:rsidR="003051B9" w:rsidRDefault="003051B9"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051B9"/>
    <w:rsid w:val="00351AC4"/>
    <w:rsid w:val="00364C0E"/>
    <w:rsid w:val="00380E79"/>
    <w:rsid w:val="003F5980"/>
    <w:rsid w:val="00416466"/>
    <w:rsid w:val="00475395"/>
    <w:rsid w:val="004C4740"/>
    <w:rsid w:val="004D6D58"/>
    <w:rsid w:val="0051663E"/>
    <w:rsid w:val="005447BA"/>
    <w:rsid w:val="00567683"/>
    <w:rsid w:val="00586D90"/>
    <w:rsid w:val="005B6238"/>
    <w:rsid w:val="00694079"/>
    <w:rsid w:val="00696DB6"/>
    <w:rsid w:val="007170F7"/>
    <w:rsid w:val="007D50E6"/>
    <w:rsid w:val="007F1D95"/>
    <w:rsid w:val="00802CBB"/>
    <w:rsid w:val="00803C2A"/>
    <w:rsid w:val="00840F2F"/>
    <w:rsid w:val="008849D8"/>
    <w:rsid w:val="0089042B"/>
    <w:rsid w:val="008C4B70"/>
    <w:rsid w:val="00964A84"/>
    <w:rsid w:val="0097086E"/>
    <w:rsid w:val="00A04752"/>
    <w:rsid w:val="00A47753"/>
    <w:rsid w:val="00A52AE2"/>
    <w:rsid w:val="00A55024"/>
    <w:rsid w:val="00A90EA2"/>
    <w:rsid w:val="00AE7CAF"/>
    <w:rsid w:val="00B27E30"/>
    <w:rsid w:val="00BC7BE8"/>
    <w:rsid w:val="00C0096B"/>
    <w:rsid w:val="00C81306"/>
    <w:rsid w:val="00CD5BEC"/>
    <w:rsid w:val="00D17949"/>
    <w:rsid w:val="00D47380"/>
    <w:rsid w:val="00D744D1"/>
    <w:rsid w:val="00D81F4F"/>
    <w:rsid w:val="00DC1A3B"/>
    <w:rsid w:val="00DC69CD"/>
    <w:rsid w:val="00DF6B84"/>
    <w:rsid w:val="00E3760C"/>
    <w:rsid w:val="00E6199E"/>
    <w:rsid w:val="00E63F73"/>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BDBC"/>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4410-9E94-4C37-B2AB-6BD66D10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秀琴 黃</cp:lastModifiedBy>
  <cp:revision>3</cp:revision>
  <cp:lastPrinted>2019-10-17T04:02:00Z</cp:lastPrinted>
  <dcterms:created xsi:type="dcterms:W3CDTF">2022-04-14T05:42:00Z</dcterms:created>
  <dcterms:modified xsi:type="dcterms:W3CDTF">2022-04-14T05:42:00Z</dcterms:modified>
</cp:coreProperties>
</file>