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112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1次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77777777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報名日期:112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784F9A">
        <w:trPr>
          <w:trHeight w:val="50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77777777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112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Pr="00F34432">
        <w:rPr>
          <w:rFonts w:ascii="標楷體" w:eastAsia="標楷體" w:hAnsi="標楷體" w:hint="eastAsia"/>
          <w:spacing w:val="-10"/>
          <w:sz w:val="36"/>
        </w:rPr>
        <w:t>1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77777777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5"/>
          <w:sz w:val="36"/>
        </w:rPr>
        <w:t>112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77777777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112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77777777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稚)園及特殊教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r w:rsidRPr="00F34432">
        <w:rPr>
          <w:rFonts w:ascii="標楷體" w:eastAsia="標楷體" w:hAnsi="標楷體"/>
          <w:w w:val="99"/>
          <w:sz w:val="26"/>
        </w:rPr>
        <w:t>中等學校教育階段）</w:t>
      </w:r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112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77777777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112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7777777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5"/>
          <w:kern w:val="0"/>
          <w:sz w:val="28"/>
          <w:szCs w:val="28"/>
        </w:rPr>
        <w:t>112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77777777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 xml:space="preserve">12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6FBC3D99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  <w:u w:val="single"/>
        </w:rPr>
        <w:t>1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2學年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度第1學期第1次代理（課）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color w:val="FF0000"/>
                <w:sz w:val="28"/>
                <w:szCs w:val="24"/>
              </w:rPr>
              <w:t>11</w:t>
            </w:r>
            <w:r w:rsidRPr="00F34432"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  <w:t>2</w:t>
            </w: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  <w:bookmarkStart w:id="1" w:name="_GoBack"/>
      <w:bookmarkEnd w:id="1"/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0132A" w14:textId="77777777" w:rsidR="00F6234F" w:rsidRDefault="00F6234F" w:rsidP="00F34432">
      <w:r>
        <w:separator/>
      </w:r>
    </w:p>
  </w:endnote>
  <w:endnote w:type="continuationSeparator" w:id="0">
    <w:p w14:paraId="3646D5E1" w14:textId="77777777" w:rsidR="00F6234F" w:rsidRDefault="00F6234F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BE530" w14:textId="77777777" w:rsidR="00F6234F" w:rsidRDefault="00F6234F" w:rsidP="00F34432">
      <w:r>
        <w:separator/>
      </w:r>
    </w:p>
  </w:footnote>
  <w:footnote w:type="continuationSeparator" w:id="0">
    <w:p w14:paraId="52BF9EB1" w14:textId="77777777" w:rsidR="00F6234F" w:rsidRDefault="00F6234F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674450"/>
    <w:rsid w:val="00787048"/>
    <w:rsid w:val="007E2193"/>
    <w:rsid w:val="00851C4C"/>
    <w:rsid w:val="008B3F61"/>
    <w:rsid w:val="00F34432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2023-06-21T07:20:00Z</dcterms:created>
  <dcterms:modified xsi:type="dcterms:W3CDTF">2023-06-28T04:51:00Z</dcterms:modified>
</cp:coreProperties>
</file>